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keepNext w:val="true"/>
        <w:numPr>
          <w:ilvl w:val="0"/>
          <w:numId w:val="1"/>
        </w:numPr>
        <w:spacing w:before="0" w:after="0" w:line="240"/>
        <w:ind w:right="0" w:left="0" w:firstLine="0"/>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Античная наука: социально-исторические условия формирования и существенные характеристики</w:t>
      </w:r>
    </w:p>
    <w:p>
      <w:pPr>
        <w:spacing w:before="0" w:after="200" w:line="276"/>
        <w:ind w:right="0" w:left="0" w:firstLine="0"/>
        <w:jc w:val="left"/>
        <w:rPr>
          <w:rFonts w:ascii="Calibri" w:hAnsi="Calibri" w:cs="Calibri" w:eastAsia="Calibri"/>
          <w:color w:val="auto"/>
          <w:spacing w:val="0"/>
          <w:position w:val="0"/>
          <w:sz w:val="22"/>
          <w:shd w:fill="auto" w:val="clear"/>
        </w:rPr>
      </w:pPr>
    </w:p>
    <w:p>
      <w:pPr>
        <w:widowControl w:val="false"/>
        <w:spacing w:before="0" w:after="0" w:line="240"/>
        <w:ind w:right="0" w:left="0" w:firstLine="403"/>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Подлинной колыбелью науки была античная Греция, культура которой в период своего расцвета (VI — IV вв. до н. э.) и породила науку.</w:t>
      </w:r>
    </w:p>
    <w:p>
      <w:pPr>
        <w:widowControl w:val="false"/>
        <w:spacing w:before="0" w:after="0" w:line="240"/>
        <w:ind w:right="0" w:left="0" w:firstLine="413"/>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Особенности этого периода - те социальные и гносеологические структуры, которые, возникнув в античности, детерминировали оформление здесь науки как таковой.</w:t>
      </w:r>
    </w:p>
    <w:p>
      <w:pPr>
        <w:widowControl w:val="false"/>
        <w:spacing w:before="0" w:after="0" w:line="240"/>
        <w:ind w:right="0" w:left="0" w:firstLine="4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Социально-политическая жизнь Древней Греции на рубеже VIII —VI вв. до н. э. в своей первозданности во многом воспроизводила характер древневосточной социальности.</w:t>
      </w:r>
    </w:p>
    <w:p>
      <w:pPr>
        <w:widowControl w:val="false"/>
        <w:spacing w:before="0" w:after="0" w:line="240"/>
        <w:ind w:right="0" w:left="0" w:firstLine="403"/>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Стремительное имущественное расслоение общины с сосредоточением частной собственности на недвижимость и движимость в руках представителей знатных родов, появление басилеев (крупные землевладельцы из родовой аристократии) влекло а) массовое разорение землеобработчиков-общинников, б) развитие долговой кабалы. </w:t>
      </w:r>
    </w:p>
    <w:p>
      <w:pPr>
        <w:widowControl w:val="false"/>
        <w:spacing w:before="0" w:after="0" w:line="240"/>
        <w:ind w:right="0" w:left="0" w:firstLine="38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Однако в отсутствии масштабных трудоемких общественно- производительных работ, в ситуации более высокой эффективности производства, хозяйственной продвинутое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жестко централизованная социальная иерархия с управленческой деспотией не складывается. Причиной того выступали два обстоятельства.</w:t>
      </w:r>
    </w:p>
    <w:p>
      <w:pPr>
        <w:widowControl w:val="false"/>
        <w:spacing w:before="0" w:after="0" w:line="240"/>
        <w:ind w:right="0" w:left="0" w:firstLine="394"/>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Первое — объективное. Западные же малые компактные хозяйственно-общинные единицы не выдерживали бремени масштабного притока производительных сил. Ввиду зависимости численности граждан от неких количественных соотношений при данном уровне производства в древнегреческой общине поощрялась эмиграция. </w:t>
      </w:r>
    </w:p>
    <w:p>
      <w:pPr>
        <w:widowControl w:val="false"/>
        <w:spacing w:before="0" w:after="0" w:line="240"/>
        <w:ind w:right="0" w:left="0" w:firstLine="39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Второе — субъективное. Утратившие и утрачивающие гражданскую свободу общинники отстаивают-таки личную независимость, экономические права в борьбе с родовой и имущественной аристократией. </w:t>
      </w:r>
    </w:p>
    <w:p>
      <w:pPr>
        <w:widowControl w:val="false"/>
        <w:spacing w:before="0" w:after="0" w:line="240"/>
        <w:ind w:right="0" w:left="0" w:firstLine="39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w:t>
      </w:r>
      <w:r>
        <w:rPr>
          <w:rFonts w:ascii="Times New Roman" w:hAnsi="Times New Roman" w:cs="Times New Roman" w:eastAsia="Times New Roman"/>
          <w:color w:val="auto"/>
          <w:spacing w:val="0"/>
          <w:position w:val="0"/>
          <w:sz w:val="24"/>
          <w:shd w:fill="auto" w:val="clear"/>
        </w:rPr>
        <w:t xml:space="preserve">С VII в. до н. э. свободное население требует проведения записей правовых норм </w:t>
      </w:r>
    </w:p>
    <w:p>
      <w:pPr>
        <w:widowControl w:val="false"/>
        <w:spacing w:before="0" w:after="0" w:line="240"/>
        <w:ind w:right="0" w:left="0" w:firstLine="39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В 594 г. до н. э. борьба демоса с земельной аристократией увенчивается реформами Солона, способствовавшими прогрессу частной собственности, искоренению пережитков родовых отношений, подрыву положения родовой знати. </w:t>
      </w:r>
    </w:p>
    <w:p>
      <w:pPr>
        <w:widowControl w:val="false"/>
        <w:spacing w:before="0" w:after="0" w:line="240"/>
        <w:ind w:right="0" w:left="0" w:firstLine="394"/>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итоге в общественном сознании, межсубъектном обмене деятельностью укореняется принцип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трех 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исегории — свобода слова, исотомии — гражданская свобода участия (равенство в занятии должностей), исономии — гражданское равенство (равенство перед законом).</w:t>
      </w:r>
    </w:p>
    <w:p>
      <w:pPr>
        <w:widowControl w:val="false"/>
        <w:spacing w:before="0" w:after="0" w:line="240"/>
        <w:ind w:right="0" w:left="0" w:firstLine="403"/>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 Демократическая форма греческого общественного устройства, с одной стороны, предполагавшая необходимость участия в политической жизни (народные собрания, публичные обсуждения, голосования) каждого из свободных граждан, а с другой — фактически способствовавшая максимальному раскрытию его талантов и возможностей, не только лишала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привилегии рождения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но и обусловливала отсутствие какого-либо пиетета перед правителями, бюрократами, чему содействовали также их выборность, конвертируемость. </w:t>
      </w:r>
    </w:p>
    <w:p>
      <w:pPr>
        <w:widowControl w:val="false"/>
        <w:spacing w:before="0" w:after="0" w:line="240"/>
        <w:ind w:right="0" w:left="0" w:firstLine="403"/>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Б) отношение к общественному закону не как к слепой силе, продиктованной свыше, а как к демократической норме, принятой большинством в результате выявления ее гражданского совершенства в процессе всенародного обсуждения, зиждилось на просторе риторики, искусстве убеждения, аргументации</w:t>
      </w:r>
    </w:p>
    <w:p>
      <w:pPr>
        <w:widowControl w:val="false"/>
        <w:spacing w:before="0" w:after="0" w:line="240"/>
        <w:ind w:right="0" w:left="0" w:firstLine="403"/>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правовое равенство граждан, подчинение их единым законам, преклонение перед искусством убеждения имели следствием релятивизацию человеческих суждений. </w:t>
      </w:r>
    </w:p>
    <w:p>
      <w:pPr>
        <w:widowControl w:val="false"/>
        <w:spacing w:before="0" w:after="0" w:line="240"/>
        <w:ind w:right="0" w:left="0" w:firstLine="394"/>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Таким образом, важнейшим результатом демократизации общественно-политической сферы античной Греции явилось формирование аппарата логического рационального обоснования, переросшего рамки средства непосредственного осуществления политической деятельности и превратившегося в универсальный алгоритм продуцирования знания в целом, инструмент трансляции знания от индивида в общество. </w:t>
      </w:r>
    </w:p>
    <w:p>
      <w:pPr>
        <w:widowControl w:val="false"/>
        <w:spacing w:before="0" w:after="0" w:line="240"/>
        <w:ind w:right="0" w:left="0" w:firstLine="394"/>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Процесс оформления в Греции науки можно реконструировать следующим образом. О возникновении математики следует сказать, что вначале она ничем не отличалась от древневосточной. Арифметика и геометрия функционировали как набор технических приемов.</w:t>
      </w:r>
    </w:p>
    <w:p>
      <w:pPr>
        <w:widowControl w:val="false"/>
        <w:spacing w:before="0" w:after="0" w:line="240"/>
        <w:ind w:right="0" w:left="0" w:firstLine="394"/>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деле оформления математики в текстах в виде теоретико-логической системы необходимо подчеркнуть роль Фалеса и, возможно, Демокрита. с этих пор положено окончательное разграничение точек зрения геометрической и физической</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Все это составляло фундамент становления математики как теоретико-рациональной науки, а не эмпирико-чувственного искусства.</w:t>
      </w:r>
    </w:p>
    <w:p>
      <w:pPr>
        <w:widowControl w:val="false"/>
        <w:spacing w:before="0" w:after="0" w:line="240"/>
        <w:ind w:right="0" w:left="0" w:firstLine="394"/>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Следующий момент, исключительно важный для реконструкции возникновения математики, — разработка теории доказательства. Здесь следует акцентировать роль Зенона, способствовавшего оформлению теории доказательства, в частности, за счет развития аппарата доказательства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от противного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а также Аристотеля, осуществившего глобальный синтез известных приемов логического доказательства и обобщившего их в регулятивный канон исследования, на который сознательно ориентировалось всякое научное, в том числе математическое, познание.</w:t>
      </w:r>
    </w:p>
    <w:p>
      <w:pPr>
        <w:widowControl w:val="false"/>
        <w:spacing w:before="0" w:after="0" w:line="240"/>
        <w:ind w:right="0" w:left="0" w:firstLine="4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Греческое слово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физика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 современных исследованиях по истории науки не случайно берется в кавычки, ибо физика греков — нечто совсем иное, нежели современная естественно-научная дисциплина. У греков физика —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наука о природе в целом, но не в смысле нашего естествознания</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vertAlign w:val="superscript"/>
        </w:rPr>
        <w:t xml:space="preserve">1</w:t>
      </w:r>
      <w:r>
        <w:rPr>
          <w:rFonts w:ascii="Times New Roman" w:hAnsi="Times New Roman" w:cs="Times New Roman" w:eastAsia="Times New Roman"/>
          <w:color w:val="auto"/>
          <w:spacing w:val="0"/>
          <w:position w:val="0"/>
          <w:sz w:val="24"/>
          <w:shd w:fill="auto" w:val="clear"/>
        </w:rPr>
        <w:t xml:space="preserve">. </w:t>
      </w:r>
    </w:p>
    <w:p>
      <w:pPr>
        <w:widowControl w:val="false"/>
        <w:spacing w:before="0" w:after="0" w:line="240"/>
        <w:ind w:right="0" w:left="0" w:firstLine="39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Усилия античных физиков нацеливались на поиск первоосновы (субстанции) сущего — архэ — и его элементов, стихий — стоихенон.</w:t>
      </w:r>
    </w:p>
    <w:p>
      <w:pPr>
        <w:widowControl w:val="false"/>
        <w:spacing w:before="0" w:after="0" w:line="240"/>
        <w:ind w:right="0" w:left="0" w:firstLine="403"/>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За таковые Фалес принимал воду, Анаксимен — воздух, Анаксимандр — апейрон, Пифагор — число, Парменид —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форму</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бытия, Гераклит — огонь, Анаксагор — гомеомерии, Демокрит — атомы, Эмпедокл — корни и т. д. Физиками, таким образом, были все до-сократики, а также Платон, развивший теорию идей и Аристотель, утвердивший доктрину гилеморфизма. Во всех этих с современной точки зрения наивных, неспециализированных теориях генезиса, строения природы последняя выступает как целостный, синкретичный, нерасчленимый объект, данный в живом созерцании. </w:t>
      </w:r>
    </w:p>
    <w:p>
      <w:pPr>
        <w:widowControl w:val="false"/>
        <w:spacing w:before="0" w:after="0" w:line="240"/>
        <w:ind w:right="0" w:left="0" w:firstLine="39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 числу предпосылок возникновения в эпоху античности описанного выше комплекса естественнонаучных представлений относятся следующие. Во-первых, утвердившееся в представление о природе как некоем естественно возникшем (мы не отваживаемся сказать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естественно-историческом</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образовании, имеющем основание в самом себе, а не в темисе или номосе (т. е. в божественном или человеческом законе). </w:t>
      </w:r>
    </w:p>
    <w:p>
      <w:pPr>
        <w:widowControl w:val="false"/>
        <w:spacing w:before="0" w:after="0" w:line="240"/>
        <w:ind w:right="0" w:left="0" w:firstLine="394"/>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Во-вторых, укоренение идеи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онтологической нерелятивности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бытия, явившееся следствием критики наивно эмпирического мировоззрения беспрестанного изменения. Философско-теоретический вариант этого мировоззрения разработал Гераклит, в качестве центрального понятия своей системы принявший понятие становления.</w:t>
      </w:r>
    </w:p>
    <w:p>
      <w:pPr>
        <w:widowControl w:val="false"/>
        <w:spacing w:before="0" w:after="0" w:line="240"/>
        <w:ind w:right="0" w:left="0" w:firstLine="394"/>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Стержень гераклитовского мироздания составляет закон взаимоперехода, непрестанного самовозвращения, противоборства, обновления субстанций, источник, принципы движения которых он уподобляет подвижной природе огня — первоосновы сущего. </w:t>
      </w:r>
    </w:p>
    <w:p>
      <w:pPr>
        <w:widowControl w:val="false"/>
        <w:spacing w:before="0" w:after="0" w:line="240"/>
        <w:ind w:right="0" w:left="0" w:firstLine="39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В-третьих, оформление взгляда на мир как на взаимосвязанное целое, проникающее все сущее и доступное сверхчувственному созерцанию. Для перспектив оформления науки данное обстоятельство имело существенное гносеологическое значение. Прежде всего, оно способствовало учреждению столь фундаментального для науки принципа, как каузальность, на фиксации которого, собственно, базируется наука. </w:t>
      </w:r>
    </w:p>
    <w:p>
      <w:pPr>
        <w:widowControl w:val="false"/>
        <w:spacing w:before="0" w:after="0" w:line="240"/>
        <w:ind w:right="0" w:left="0" w:hanging="192"/>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Существенной предпосылкой возникновения естествознания в Античности, как указывалось, была борьба с антропоморфизмом, завершившаяся оформлением программы архэ, т. е. поиска естественной монистической основы природы. </w:t>
      </w:r>
    </w:p>
    <w:p>
      <w:pPr>
        <w:widowControl w:val="false"/>
        <w:spacing w:before="0" w:after="0" w:line="240"/>
        <w:ind w:right="0" w:left="0" w:hanging="21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Отсутствие в эпоху Античности научного естествознания обусловливалось невозможностью применения в рамках физики аппарата математики, поскольку, по Аристотелю, физика и математика — разные науки, относящиеся к разным предметам, между которыми нет общей точки соприкосновения. Математику Аристотель определял как науку о неподвижном, а физику — как науку о подвижном бытии. </w:t>
      </w:r>
    </w:p>
    <w:p>
      <w:pPr>
        <w:widowControl w:val="false"/>
        <w:spacing w:before="0" w:after="0" w:line="240"/>
        <w:ind w:right="0" w:left="0" w:firstLine="403"/>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Естествознание греков было абстрактно-объяснительным, лишенным деятельностного, созидательного компонента. </w:t>
      </w:r>
    </w:p>
    <w:p>
      <w:pPr>
        <w:widowControl w:val="false"/>
        <w:spacing w:before="0" w:after="0" w:line="240"/>
        <w:ind w:right="0" w:left="0" w:firstLine="38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То, что с гносеологической точки зрения именуется наукой, т. е. по крайней мере является теоретическим (теорийным) познанием, имея в виду логически обоснованное мышление, понятиями и категориями, а также основывается на идее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внеличностностного порядка, бесконечной причинной цепи, пронизывающей все бытие, трансцендентной по отношению к человеку, но рационально постижимой</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vertAlign w:val="superscript"/>
        </w:rPr>
        <w:t xml:space="preserve">1</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возникло именно в Европе (античная Греция) в результате реализации программы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трех П</w:t>
      </w:r>
      <w:r>
        <w:rPr>
          <w:rFonts w:ascii="Times New Roman" w:hAnsi="Times New Roman" w:cs="Times New Roman" w:eastAsia="Times New Roman"/>
          <w:color w:val="auto"/>
          <w:spacing w:val="0"/>
          <w:position w:val="0"/>
          <w:sz w:val="24"/>
          <w:shd w:fill="auto" w:val="clear"/>
        </w:rPr>
        <w:t xml:space="preserve">».</w:t>
      </w:r>
    </w:p>
    <w:p>
      <w:pPr>
        <w:widowControl w:val="false"/>
        <w:spacing w:before="0" w:after="0" w:line="240"/>
        <w:ind w:right="0" w:left="0" w:firstLine="389"/>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науке автономизирутотся математика, естествознание, история.</w:t>
      </w:r>
    </w:p>
    <w:p>
      <w:pPr>
        <w:widowControl w:val="false"/>
        <w:spacing w:before="0" w:after="0" w:line="240"/>
        <w:ind w:right="0" w:left="0" w:firstLine="394"/>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философии упрочаются онтология, этика, эстетика, логика.</w:t>
      </w:r>
    </w:p>
    <w:p>
      <w:pPr>
        <w:widowControl w:val="false"/>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Начиная, пожалуй, с Аристотеля философский язык отходит от обыденной разговорной и научной речи, обогащается широким спектром технических терминов, становится профессиональным диалектом, кодифицированной лексикой. Далее идут заимствования из эллинистической культуры, ощущается латинское влияние. Сложившаяся в Античности выразительная база философии составит основу различных философских школ в будущем.</w:t>
      </w:r>
    </w:p>
    <w:p>
      <w:pPr>
        <w:widowControl w:val="false"/>
        <w:spacing w:before="0" w:after="0" w:line="240"/>
        <w:ind w:right="0" w:left="0" w:firstLine="394"/>
        <w:jc w:val="both"/>
        <w:rPr>
          <w:rFonts w:ascii="Times New Roman" w:hAnsi="Times New Roman" w:cs="Times New Roman" w:eastAsia="Times New Roman"/>
          <w:color w:val="auto"/>
          <w:spacing w:val="0"/>
          <w:position w:val="0"/>
          <w:sz w:val="24"/>
          <w:shd w:fill="auto" w:val="clear"/>
        </w:rPr>
      </w:pPr>
    </w:p>
    <w:p>
      <w:pPr>
        <w:spacing w:before="0" w:after="0" w:line="276"/>
        <w:ind w:right="0" w:left="0" w:firstLine="0"/>
        <w:jc w:val="left"/>
        <w:rPr>
          <w:rFonts w:ascii="Calibri" w:hAnsi="Calibri" w:cs="Calibri" w:eastAsia="Calibri"/>
          <w:color w:val="auto"/>
          <w:spacing w:val="0"/>
          <w:position w:val="0"/>
          <w:sz w:val="24"/>
          <w:shd w:fill="auto" w:val="clear"/>
        </w:rPr>
      </w:pPr>
    </w:p>
  </w:body>
</w:document>
</file>

<file path=word/numbering.xml><?xml version="1.0" encoding="utf-8"?>
<w:numbering xmlns:w="http://schemas.openxmlformats.org/wordprocessingml/2006/main">
  <w:abstractNum w:abstractNumId="1">
    <w:lvl w:ilvl="0">
      <w:start w:val="1"/>
      <w:numFmt w:val="decimal"/>
      <w:lvlText w:val="%1."/>
    </w:lvl>
  </w:abstractNum>
  <w:num w:numId="1">
    <w:abstractNumId w:val="1"/>
  </w:num>
</w:numbering>
</file>

<file path=word/styles.xml><?xml version="1.0" encoding="utf-8"?>
<w:styles xmlns:w="http://schemas.openxmlformats.org/wordprocessingml/2006/main"/>
</file>

<file path=word/_rels/document.xml.rels><?xml version="1.0"?><Relationships xmlns="http://schemas.openxmlformats.org/package/2006/relationships"><Relationship Target="numbering.xml" Id="docRId0" Type="http://schemas.openxmlformats.org/officeDocument/2006/relationships/numbering"/><Relationship Target="styles.xml" Id="docRId1" Type="http://schemas.openxmlformats.org/officeDocument/2006/relationships/styles"/></Relationships>
</file>